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 xml:space="preserve">Monday </w:t>
            </w:r>
            <w:r>
              <w:rPr>
                <w:rFonts w:eastAsia="Calibri" w:cs="Calibri"/>
                <w:b/>
                <w:bCs/>
                <w:color w:val="000000"/>
                <w:kern w:val="0"/>
                <w:sz w:val="18"/>
                <w:szCs w:val="18"/>
                <w:u w:val="none" w:color="000000"/>
                <w:lang w:val="en-US" w:eastAsia="en-GB" w:bidi="ar-SA"/>
              </w:rPr>
              <w:t>12</w:t>
            </w:r>
            <w:r>
              <w:rPr>
                <w:rFonts w:eastAsia="Calibri" w:cs="Calibri"/>
                <w:b/>
                <w:bCs/>
                <w:color w:val="000000"/>
                <w:kern w:val="0"/>
                <w:sz w:val="18"/>
                <w:szCs w:val="18"/>
                <w:u w:val="none" w:color="000000"/>
                <w:vertAlign w:val="superscript"/>
                <w:lang w:val="en-US" w:eastAsia="en-GB" w:bidi="ar-SA"/>
              </w:rPr>
              <w:t>th</w:t>
            </w:r>
            <w:r>
              <w:rPr>
                <w:rFonts w:eastAsia="Calibri" w:cs="Calibri"/>
                <w:b/>
                <w:bCs/>
                <w:color w:val="000000"/>
                <w:kern w:val="0"/>
                <w:sz w:val="18"/>
                <w:szCs w:val="18"/>
                <w:u w:val="none" w:color="000000"/>
                <w:lang w:val="en-US" w:eastAsia="en-GB" w:bidi="ar-SA"/>
              </w:rPr>
              <w:t xml:space="preserve"> June</w:t>
            </w:r>
            <w:r>
              <w:rPr>
                <w:b/>
                <w:bCs/>
                <w:sz w:val="18"/>
                <w:szCs w:val="18"/>
              </w:rPr>
              <w:t xml:space="preserve"> 2023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 xml:space="preserve">To receive apologies for absence.  Apologies received from Cllrs North and Smith in advance of the meeting.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Councillors are asked to agree the Minutes of the Parish Council meetings held on Wednesday 10</w:t>
      </w:r>
      <w:r>
        <w:rPr>
          <w:sz w:val="18"/>
          <w:szCs w:val="18"/>
          <w:vertAlign w:val="superscript"/>
        </w:rPr>
        <w:t>th</w:t>
      </w:r>
      <w:r>
        <w:rPr>
          <w:sz w:val="18"/>
          <w:szCs w:val="18"/>
        </w:rPr>
        <w:t xml:space="preserve"> May</w:t>
      </w:r>
      <w:r>
        <w:rPr>
          <w:rFonts w:eastAsia="Calibri" w:cs="Calibri"/>
          <w:color w:val="000000"/>
          <w:kern w:val="0"/>
          <w:sz w:val="18"/>
          <w:szCs w:val="18"/>
          <w:u w:val="none" w:color="000000"/>
          <w:lang w:val="en-US" w:eastAsia="en-GB" w:bidi="ar-SA"/>
        </w:rPr>
        <w:t xml:space="preserve"> 2023</w:t>
      </w:r>
      <w:r>
        <w:rPr>
          <w:sz w:val="18"/>
          <w:szCs w:val="18"/>
        </w:rPr>
        <w:t xml:space="preserve">, as a true and accurate account of the proceedings of the meetings. </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6.</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6.1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May</w:t>
      </w:r>
      <w:r>
        <w:rPr>
          <w:i w:val="false"/>
          <w:iCs w:val="false"/>
          <w:color w:val="000000"/>
          <w:sz w:val="18"/>
          <w:szCs w:val="18"/>
        </w:rPr>
        <w:t>, the current account balance was £</w:t>
      </w:r>
      <w:r>
        <w:rPr>
          <w:i w:val="false"/>
          <w:iCs w:val="false"/>
          <w:color w:val="000000"/>
          <w:sz w:val="18"/>
          <w:szCs w:val="18"/>
        </w:rPr>
        <w:t>26,507.47</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2,290.92</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24,216.55</w:t>
      </w:r>
      <w:r>
        <w:rPr>
          <w:i w:val="false"/>
          <w:iCs w:val="false"/>
          <w:color w:val="000000"/>
          <w:sz w:val="18"/>
          <w:szCs w:val="18"/>
        </w:rPr>
        <w:t>. Broken down as follows: Playground H&amp;S funds £3,000.00, Ditches funds £2,000.00, Playground funds £</w:t>
      </w:r>
      <w:r>
        <w:rPr>
          <w:rFonts w:eastAsia="Calibri" w:cs="Calibri"/>
          <w:i w:val="false"/>
          <w:iCs w:val="false"/>
          <w:color w:val="000000"/>
          <w:kern w:val="0"/>
          <w:sz w:val="18"/>
          <w:szCs w:val="18"/>
          <w:u w:val="none" w:color="000000"/>
          <w:lang w:val="en-US" w:eastAsia="en-GB" w:bidi="ar-SA"/>
        </w:rPr>
        <w:t>3,214.14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16,002.41</w:t>
      </w:r>
      <w:r>
        <w:rPr>
          <w:i w:val="false"/>
          <w:iCs w:val="false"/>
          <w:color w:val="000000"/>
          <w:sz w:val="18"/>
          <w:szCs w:val="18"/>
        </w:rPr>
        <w:t>. PC deposit account £10,</w:t>
      </w:r>
      <w:r>
        <w:rPr>
          <w:rFonts w:eastAsia="Calibri" w:cs="Calibri"/>
          <w:i w:val="false"/>
          <w:iCs w:val="false"/>
          <w:color w:val="000000"/>
          <w:kern w:val="0"/>
          <w:sz w:val="18"/>
          <w:szCs w:val="18"/>
          <w:u w:val="none" w:color="000000"/>
          <w:lang w:val="en-US" w:eastAsia="en-GB" w:bidi="ar-SA"/>
        </w:rPr>
        <w:t>109.15</w:t>
      </w:r>
      <w:r>
        <w:rPr>
          <w:i w:val="false"/>
          <w:iCs w:val="false"/>
          <w:color w:val="000000"/>
          <w:sz w:val="18"/>
          <w:szCs w:val="18"/>
        </w:rPr>
        <w:t>.</w:t>
      </w:r>
    </w:p>
    <w:p>
      <w:pPr>
        <w:pStyle w:val="BodyA"/>
        <w:spacing w:before="0" w:after="0"/>
        <w:ind w:left="720" w:hanging="720"/>
        <w:jc w:val="both"/>
        <w:rPr>
          <w:color w:val="auto"/>
          <w:sz w:val="18"/>
          <w:szCs w:val="18"/>
        </w:rPr>
      </w:pPr>
      <w:r>
        <w:rPr>
          <w:color w:val="auto"/>
          <w:sz w:val="18"/>
          <w:szCs w:val="18"/>
        </w:rPr>
        <w:t>6.2</w:t>
        <w:tab/>
        <w:t>Review of BACS payments.</w:t>
      </w:r>
    </w:p>
    <w:p>
      <w:pPr>
        <w:pStyle w:val="BodyA"/>
        <w:spacing w:before="0" w:after="0"/>
        <w:ind w:left="720" w:hanging="720"/>
        <w:jc w:val="both"/>
        <w:rPr>
          <w:color w:val="auto"/>
          <w:sz w:val="18"/>
          <w:szCs w:val="18"/>
        </w:rPr>
      </w:pPr>
      <w:r>
        <w:rPr>
          <w:color w:val="auto"/>
          <w:sz w:val="18"/>
          <w:szCs w:val="18"/>
        </w:rPr>
        <w:t>6.3</w:t>
        <w:tab/>
        <w:t>Quote for playground repairs/maintenance</w:t>
      </w:r>
    </w:p>
    <w:p>
      <w:pPr>
        <w:pStyle w:val="Normal"/>
        <w:spacing w:before="0" w:after="0"/>
        <w:ind w:left="720" w:hanging="720"/>
        <w:jc w:val="both"/>
        <w:rPr>
          <w:rFonts w:ascii="Calibri" w:hAnsi="Calibri" w:cs="Calibri"/>
          <w:b/>
          <w:b/>
          <w:sz w:val="18"/>
          <w:szCs w:val="18"/>
        </w:rPr>
      </w:pPr>
      <w:r>
        <w:rPr>
          <w:rFonts w:cs="Calibri" w:ascii="Calibri" w:hAnsi="Calibri"/>
          <w:b/>
          <w:color w:val="auto"/>
          <w:sz w:val="18"/>
          <w:szCs w:val="18"/>
        </w:rPr>
        <w:t xml:space="preserve">Items 6.4 – 6.12 presented to the Council by Jane Kidd </w:t>
      </w:r>
    </w:p>
    <w:p>
      <w:pPr>
        <w:pStyle w:val="TextBody"/>
        <w:spacing w:before="0" w:after="0"/>
        <w:ind w:left="720" w:hanging="720"/>
        <w:jc w:val="both"/>
        <w:rPr>
          <w:color w:val="000000"/>
        </w:rPr>
      </w:pPr>
      <w:r>
        <w:rPr>
          <w:rFonts w:cs="Calibri" w:ascii="Calibri" w:hAnsi="Calibri"/>
          <w:b w:val="false"/>
          <w:bCs w:val="false"/>
          <w:i w:val="false"/>
          <w:caps w:val="false"/>
          <w:smallCaps w:val="false"/>
          <w:color w:val="000000"/>
          <w:spacing w:val="0"/>
          <w:sz w:val="18"/>
          <w:szCs w:val="18"/>
        </w:rPr>
        <w:t>6.4</w:t>
        <w:tab/>
        <w:t>Year-end accounts (ending 31st March 2023), including Bank Reconciliation, Receipts and Payments and Analysis of Variances to be approved by Council and signed by Chair.</w:t>
      </w:r>
    </w:p>
    <w:p>
      <w:pPr>
        <w:pStyle w:val="TextBody"/>
        <w:spacing w:before="0" w:after="0"/>
        <w:ind w:left="720" w:hanging="720"/>
        <w:jc w:val="both"/>
        <w:rPr>
          <w:color w:val="000000"/>
        </w:rPr>
      </w:pPr>
      <w:r>
        <w:rPr>
          <w:rFonts w:cs="Calibri" w:ascii="Calibri" w:hAnsi="Calibri"/>
          <w:b w:val="false"/>
          <w:bCs w:val="false"/>
          <w:i w:val="false"/>
          <w:caps w:val="false"/>
          <w:smallCaps w:val="false"/>
          <w:color w:val="000000"/>
          <w:spacing w:val="0"/>
          <w:sz w:val="18"/>
          <w:szCs w:val="18"/>
        </w:rPr>
        <w:t>6.5</w:t>
        <w:tab/>
      </w:r>
      <w:r>
        <w:rPr>
          <w:rFonts w:ascii="Calibri" w:hAnsi="Calibri"/>
          <w:b w:val="false"/>
          <w:i w:val="false"/>
          <w:caps w:val="false"/>
          <w:smallCaps w:val="false"/>
          <w:color w:val="000000"/>
          <w:spacing w:val="0"/>
          <w:sz w:val="18"/>
          <w:szCs w:val="18"/>
        </w:rPr>
        <w:t>Internal Control Statement for Year Ending 31st March 2023. To be approved by Council and signed by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6.6</w:t>
        <w:tab/>
        <w:t>Financial &amp; Management Risk Assessment last reviewed in May 2022 to be reviewed again in May 2023.</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6.7</w:t>
        <w:tab/>
        <w:t>As neither the gross income nor gross expenditure exceeds £25,000 the PC are exempt from an external audit/limited assurance review;</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6.8</w:t>
        <w:tab/>
        <w:t>Certificate of Exemption to be approved, dated and signed by RFO and Chair. Signed document to be submitted to PFK Littlejohns ASAP together with completed contact details form.</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6.9</w:t>
        <w:tab/>
        <w:t>Results of Internal Audit to be reported to PC.</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6.10</w:t>
        <w:tab/>
        <w:t>Council to review and approve by resolution the Annual Governance Statement 2022/2023 signed and dated by RFO and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6.11</w:t>
        <w:tab/>
        <w:t>Council to review and approve by resolution the Accounting Statements 2022/2023 signed and dated by RFO and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6.12</w:t>
        <w:tab/>
        <w:t xml:space="preserve">Copies of the following documents to be published on website on </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 xml:space="preserve">Monday </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19</w:t>
      </w:r>
      <w:r>
        <w:rPr>
          <w:rFonts w:eastAsia="Arial Unicode MS" w:cs="Times New Roman" w:ascii="Calibri" w:hAnsi="Calibri"/>
          <w:b w:val="false"/>
          <w:i w:val="false"/>
          <w:caps w:val="false"/>
          <w:smallCaps w:val="false"/>
          <w:color w:val="000000"/>
          <w:spacing w:val="0"/>
          <w:kern w:val="0"/>
          <w:sz w:val="18"/>
          <w:szCs w:val="18"/>
          <w:shd w:fill="auto" w:val="clear"/>
          <w:vertAlign w:val="superscript"/>
          <w:lang w:val="en-US" w:eastAsia="en-US" w:bidi="ar-SA"/>
        </w:rPr>
        <w:t>th</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 xml:space="preserve"> June 202</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3</w:t>
      </w:r>
      <w:r>
        <w:rPr>
          <w:rFonts w:eastAsia="Arial Unicode MS" w:cs="Times New Roman" w:ascii="Calibri" w:hAnsi="Calibri"/>
          <w:b w:val="false"/>
          <w:i w:val="false"/>
          <w:caps w:val="false"/>
          <w:smallCaps w:val="false"/>
          <w:color w:val="000000"/>
          <w:spacing w:val="0"/>
          <w:kern w:val="0"/>
          <w:sz w:val="18"/>
          <w:szCs w:val="18"/>
          <w:lang w:val="en-US" w:eastAsia="en-US" w:bidi="ar-SA"/>
        </w:rPr>
        <w: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a) completed certificate of exemption;</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b) completed, signed and dated annual internal audit report;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c) completed, approved, dated and signed annual governance statement;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d) completed, approved, dated and signed summary accounting statements;</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e) analysis of variances</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f) bank reconciliation;</w:t>
      </w:r>
    </w:p>
    <w:p>
      <w:pPr>
        <w:pStyle w:val="TextBody"/>
        <w:widowControl/>
        <w:spacing w:before="0" w:after="0"/>
        <w:ind w:left="720" w:right="0" w:hanging="0"/>
        <w:jc w:val="both"/>
        <w:rPr>
          <w:color w:val="000000"/>
        </w:rPr>
      </w:pPr>
      <w:r>
        <w:rPr>
          <w:rFonts w:eastAsia="Arial Unicode MS" w:cs="Times New Roman" w:ascii="Calibri" w:hAnsi="Calibri"/>
          <w:b w:val="false"/>
          <w:i w:val="false"/>
          <w:caps w:val="false"/>
          <w:smallCaps w:val="false"/>
          <w:color w:val="000000"/>
          <w:spacing w:val="0"/>
          <w:kern w:val="0"/>
          <w:sz w:val="18"/>
          <w:szCs w:val="18"/>
          <w:u w:val="none" w:color="000000"/>
          <w:lang w:val="en-US" w:eastAsia="en-US" w:bidi="ar-SA"/>
        </w:rPr>
        <w:t xml:space="preserve">g) notice of the period for the exercise of public rights; Dates set as </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Monday </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19</w:t>
      </w:r>
      <w:r>
        <w:rPr>
          <w:rFonts w:eastAsia="Arial Unicode MS" w:cs="Times New Roman" w:ascii="Calibri" w:hAnsi="Calibri"/>
          <w:b w:val="false"/>
          <w:i w:val="false"/>
          <w:caps w:val="false"/>
          <w:smallCaps w:val="false"/>
          <w:color w:val="000000"/>
          <w:spacing w:val="0"/>
          <w:kern w:val="0"/>
          <w:sz w:val="18"/>
          <w:szCs w:val="18"/>
          <w:u w:val="none" w:color="000000"/>
          <w:shd w:fill="auto" w:val="clear"/>
          <w:vertAlign w:val="superscript"/>
          <w:lang w:val="en-US" w:eastAsia="en-US" w:bidi="ar-SA"/>
        </w:rPr>
        <w:t>th</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June to Friday 2</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8</w:t>
      </w:r>
      <w:r>
        <w:rPr>
          <w:rFonts w:eastAsia="Arial Unicode MS" w:cs="Times New Roman" w:ascii="Calibri" w:hAnsi="Calibri"/>
          <w:b w:val="false"/>
          <w:i w:val="false"/>
          <w:caps w:val="false"/>
          <w:smallCaps w:val="false"/>
          <w:color w:val="000000"/>
          <w:spacing w:val="0"/>
          <w:kern w:val="0"/>
          <w:sz w:val="18"/>
          <w:szCs w:val="18"/>
          <w:u w:val="none" w:color="000000"/>
          <w:shd w:fill="auto" w:val="clear"/>
          <w:vertAlign w:val="superscript"/>
          <w:lang w:val="en-US" w:eastAsia="en-US" w:bidi="ar-SA"/>
        </w:rPr>
        <w:t>th</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July. Notice to be published on website and noticeboards on Friday 1</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6</w:t>
      </w:r>
      <w:r>
        <w:rPr>
          <w:rFonts w:eastAsia="Arial Unicode MS" w:cs="Times New Roman" w:ascii="Calibri" w:hAnsi="Calibri"/>
          <w:b w:val="false"/>
          <w:i w:val="false"/>
          <w:caps w:val="false"/>
          <w:smallCaps w:val="false"/>
          <w:color w:val="000000"/>
          <w:spacing w:val="0"/>
          <w:kern w:val="0"/>
          <w:sz w:val="18"/>
          <w:szCs w:val="18"/>
          <w:u w:val="none" w:color="000000"/>
          <w:shd w:fill="auto" w:val="clear"/>
          <w:vertAlign w:val="superscript"/>
          <w:lang w:val="en-US" w:eastAsia="en-US" w:bidi="ar-SA"/>
        </w:rPr>
        <w:t>th</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June 202</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3</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w:t>
      </w:r>
    </w:p>
    <w:p>
      <w:pPr>
        <w:pStyle w:val="BodyA"/>
        <w:spacing w:before="0" w:after="0"/>
        <w:ind w:left="720" w:hanging="720"/>
        <w:jc w:val="both"/>
        <w:rPr>
          <w:color w:val="000000"/>
          <w:sz w:val="18"/>
          <w:szCs w:val="18"/>
        </w:rPr>
      </w:pPr>
      <w:r>
        <w:rPr>
          <w:color w:val="000000"/>
          <w:sz w:val="18"/>
          <w:szCs w:val="18"/>
        </w:rPr>
      </w:r>
    </w:p>
    <w:p>
      <w:pPr>
        <w:pStyle w:val="BodyA"/>
        <w:spacing w:before="0" w:after="0"/>
        <w:ind w:left="720" w:hanging="720"/>
        <w:jc w:val="both"/>
        <w:rPr>
          <w:b/>
          <w:b/>
          <w:color w:val="auto"/>
          <w:sz w:val="18"/>
          <w:szCs w:val="18"/>
        </w:rPr>
      </w:pPr>
      <w:r>
        <w:rPr>
          <w:b/>
          <w:color w:val="auto"/>
          <w:sz w:val="18"/>
          <w:szCs w:val="18"/>
        </w:rPr>
        <w:t>7.</w:t>
        <w:tab/>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7.1</w:t>
        <w:tab/>
        <w:t>Applications:</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ab/>
        <w:t>UTT/23/1243/HHF Herons Rest, Upper Green Road</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ab/>
        <w:t xml:space="preserve">UTT/23/1216/HHF Duddenhoe Grange, Upper Green Road </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ab/>
        <w:t>UTT/23/1399/FUL Langley Lawn, Langley Lower Green</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ab/>
      </w:r>
      <w:r>
        <w:rPr>
          <w:color w:val="auto"/>
          <w:sz w:val="18"/>
          <w:szCs w:val="18"/>
        </w:rPr>
        <w:t xml:space="preserve"> </w:t>
        <w:tab/>
      </w:r>
    </w:p>
    <w:p>
      <w:pPr>
        <w:pStyle w:val="BodyA"/>
        <w:spacing w:before="0" w:after="0"/>
        <w:ind w:left="720" w:hanging="720"/>
        <w:jc w:val="both"/>
        <w:rPr>
          <w:sz w:val="18"/>
          <w:szCs w:val="18"/>
        </w:rPr>
      </w:pPr>
      <w:r>
        <w:rPr>
          <w:b/>
          <w:bCs/>
          <w:sz w:val="18"/>
          <w:szCs w:val="18"/>
        </w:rPr>
        <w:t>8.</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8.1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10.</w:t>
        <w:tab/>
        <w:t>LOCAL ENVIRONMENT</w:t>
      </w:r>
    </w:p>
    <w:p>
      <w:pPr>
        <w:pStyle w:val="BodyA"/>
        <w:spacing w:before="0" w:after="0"/>
        <w:jc w:val="both"/>
        <w:rPr>
          <w:sz w:val="18"/>
          <w:szCs w:val="18"/>
        </w:rPr>
      </w:pPr>
      <w:r>
        <w:rPr>
          <w:sz w:val="18"/>
          <w:szCs w:val="18"/>
        </w:rPr>
        <w:t>10.1</w:t>
        <w:tab/>
        <w:t>Trees / Verges / Grass cutting / Ditches</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10.2</w:t>
        <w:tab/>
        <w:t>UDC Parish Planning training</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10.3</w:t>
        <w:tab/>
        <w:t xml:space="preserve">Rural Affordable housing </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10.4</w:t>
        <w:tab/>
        <w:t>Identify possible community projects</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10.5</w:t>
        <w:tab/>
        <w:t>Hire of community centre for events</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10.6</w:t>
        <w:tab/>
        <w:t>Salt bag partnership scheme</w:t>
      </w:r>
    </w:p>
    <w:p>
      <w:pPr>
        <w:pStyle w:val="BodyA"/>
        <w:spacing w:before="0" w:after="0"/>
        <w:jc w:val="both"/>
        <w:rPr>
          <w:color w:val="000000"/>
        </w:rPr>
      </w:pPr>
      <w:r>
        <w:rPr>
          <w:color w:val="000000"/>
        </w:rPr>
      </w:r>
    </w:p>
    <w:p>
      <w:pPr>
        <w:pStyle w:val="BodyA"/>
        <w:spacing w:before="0" w:after="0"/>
        <w:ind w:left="720" w:hanging="720"/>
        <w:jc w:val="both"/>
        <w:rPr>
          <w:b/>
          <w:b/>
          <w:bCs/>
          <w:sz w:val="18"/>
          <w:szCs w:val="18"/>
        </w:rPr>
      </w:pPr>
      <w:r>
        <w:rPr>
          <w:b/>
          <w:bCs/>
          <w:sz w:val="18"/>
          <w:szCs w:val="18"/>
        </w:rPr>
        <w:t>11.</w:t>
        <w:tab/>
        <w:t>PLAYGROUND</w:t>
      </w:r>
    </w:p>
    <w:p>
      <w:pPr>
        <w:pStyle w:val="BodyA"/>
        <w:spacing w:before="0" w:after="0"/>
        <w:ind w:left="720" w:hanging="720"/>
        <w:jc w:val="both"/>
        <w:rPr>
          <w:sz w:val="18"/>
          <w:szCs w:val="18"/>
        </w:rPr>
      </w:pPr>
      <w:r>
        <w:rPr>
          <w:bCs/>
          <w:sz w:val="18"/>
          <w:szCs w:val="18"/>
        </w:rPr>
        <w:t>11.1</w:t>
        <w:tab/>
        <w:t>Playground update</w:t>
      </w:r>
    </w:p>
    <w:p>
      <w:pPr>
        <w:pStyle w:val="BodyA"/>
        <w:spacing w:before="0" w:after="0"/>
        <w:ind w:left="720" w:hanging="720"/>
        <w:jc w:val="both"/>
        <w:rPr>
          <w:sz w:val="18"/>
          <w:szCs w:val="18"/>
        </w:rPr>
      </w:pPr>
      <w:r>
        <w:rPr>
          <w:bCs/>
          <w:sz w:val="18"/>
          <w:szCs w:val="18"/>
        </w:rPr>
        <w:t>11.2</w:t>
        <w:tab/>
        <w:t xml:space="preserve">Playground maintenance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12.</w:t>
      </w:r>
      <w:r>
        <w:rPr>
          <w:sz w:val="18"/>
          <w:szCs w:val="18"/>
        </w:rPr>
        <w:tab/>
      </w:r>
      <w:r>
        <w:rPr>
          <w:b/>
          <w:bCs/>
          <w:sz w:val="18"/>
          <w:szCs w:val="18"/>
        </w:rPr>
        <w:t>DISTRICT AND COUNTY COUNCIL</w:t>
      </w:r>
    </w:p>
    <w:p>
      <w:pPr>
        <w:pStyle w:val="BodyA"/>
        <w:spacing w:before="0" w:after="0"/>
        <w:jc w:val="both"/>
        <w:rPr>
          <w:sz w:val="18"/>
          <w:szCs w:val="18"/>
        </w:rPr>
      </w:pPr>
      <w:r>
        <w:rPr>
          <w:sz w:val="18"/>
          <w:szCs w:val="18"/>
        </w:rPr>
        <w:t>12.1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13.</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13.1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5"/>
        <w:gridCol w:w="1179"/>
        <w:gridCol w:w="1289"/>
      </w:tblGrid>
      <w:tr>
        <w:trPr>
          <w:trHeight w:val="537" w:hRule="atLeast"/>
        </w:trPr>
        <w:tc>
          <w:tcPr>
            <w:tcW w:w="930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June</w:t>
            </w:r>
            <w:r>
              <w:rPr>
                <w:rFonts w:eastAsia="Calibri" w:cs="Calibri"/>
                <w:b/>
                <w:bCs/>
                <w:color w:val="000000"/>
                <w:kern w:val="0"/>
                <w:sz w:val="22"/>
                <w:szCs w:val="22"/>
                <w:u w:val="none" w:color="000000"/>
                <w:lang w:val="en-US" w:eastAsia="en-GB" w:bidi="ar-SA"/>
              </w:rPr>
              <w:t xml:space="preserve"> 2023</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Sue Smith</w:t>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Reimbursement for Coronation costs (paid prior to meeting)</w:t>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£48.03</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BHIB</w:t>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Parish Council insurance renewal</w:t>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£467.67</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Erica Williams</w:t>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w:t>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£443.05</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UK Power Networks</w:t>
            </w:r>
          </w:p>
        </w:tc>
        <w:tc>
          <w:tcPr>
            <w:tcW w:w="4285"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 xml:space="preserve">Disconnection of electricity supply </w:t>
            </w:r>
          </w:p>
        </w:tc>
        <w:tc>
          <w:tcPr>
            <w:tcW w:w="1179"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cs="Calibri"/>
                <w:color w:val="000000"/>
                <w:sz w:val="22"/>
                <w:szCs w:val="22"/>
              </w:rPr>
            </w:pPr>
            <w:r>
              <w:rPr>
                <w:rFonts w:cs="Calibri" w:ascii="Calibri" w:hAnsi="Calibri"/>
                <w:color w:val="000000"/>
                <w:sz w:val="22"/>
                <w:szCs w:val="22"/>
              </w:rPr>
              <w:t>£991.20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9"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89"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1,949.95</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14.</w:t>
        <w:tab/>
        <w:t xml:space="preserve">MATTERS TO BE RAISED BY MEMBERS FOR THE NEXT AGENDA </w:t>
      </w:r>
    </w:p>
    <w:p>
      <w:pPr>
        <w:pStyle w:val="BodyA"/>
        <w:spacing w:lineRule="auto" w:line="240" w:before="0" w:after="0"/>
        <w:ind w:left="720" w:hanging="720"/>
        <w:rPr>
          <w:sz w:val="18"/>
          <w:szCs w:val="18"/>
        </w:rPr>
      </w:pPr>
      <w:r>
        <w:rPr>
          <w:sz w:val="18"/>
          <w:szCs w:val="18"/>
        </w:rPr>
        <w:t>14.1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15.</w:t>
        <w:tab/>
        <w:t>DATE OF NEXT MEETINGS</w:t>
      </w:r>
    </w:p>
    <w:p>
      <w:pPr>
        <w:pStyle w:val="BodyA"/>
        <w:spacing w:before="0" w:after="0"/>
        <w:ind w:left="720" w:hanging="720"/>
        <w:jc w:val="both"/>
        <w:rPr>
          <w:sz w:val="18"/>
          <w:szCs w:val="18"/>
        </w:rPr>
      </w:pPr>
      <w:r>
        <w:rPr>
          <w:sz w:val="18"/>
          <w:szCs w:val="18"/>
        </w:rPr>
        <w:t>15.1</w:t>
        <w:tab/>
        <w:t xml:space="preserve">The next meeting will be on </w:t>
      </w:r>
      <w:r>
        <w:rPr>
          <w:rFonts w:eastAsia="Calibri" w:cs="Calibri"/>
          <w:color w:val="000000"/>
          <w:kern w:val="0"/>
          <w:sz w:val="18"/>
          <w:szCs w:val="18"/>
          <w:u w:val="none" w:color="000000"/>
          <w:lang w:val="en-US" w:eastAsia="en-GB" w:bidi="ar-SA"/>
        </w:rPr>
        <w:t>Monday 10</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July 2023 </w:t>
      </w:r>
      <w:r>
        <w:rPr>
          <w:sz w:val="18"/>
          <w:szCs w:val="18"/>
        </w:rPr>
        <w:t xml:space="preserve">in Langley Community Centre.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Application>LibreOffice/7.1.1.2$Windows_X86_64 LibreOffice_project/fe0b08f4af1bacafe4c7ecc87ce55bb426164676</Application>
  <AppVersion>15.0000</AppVersion>
  <Pages>2</Pages>
  <Words>827</Words>
  <Characters>4416</Characters>
  <CharactersWithSpaces>5203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2023-06-07T12:58:21Z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